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B0" w:rsidRDefault="00EE2B45"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Bucătar</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A518B0">
        <w:rPr>
          <w:rFonts w:ascii="Helvetica" w:hAnsi="Helvetica" w:cs="Helvetica"/>
          <w:color w:val="000000"/>
          <w:sz w:val="18"/>
          <w:szCs w:val="18"/>
        </w:rPr>
        <w:t xml:space="preserve">Județul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1B5AF3" w:rsidRPr="001B5AF3">
        <w:rPr>
          <w:rFonts w:ascii="Helvetica" w:hAnsi="Helvetica" w:cs="Helvetica"/>
          <w:color w:val="000000"/>
          <w:sz w:val="18"/>
          <w:szCs w:val="18"/>
        </w:rPr>
        <w:t xml:space="preserve"> </w:t>
      </w:r>
      <w:r w:rsidR="001B5AF3">
        <w:rPr>
          <w:rFonts w:ascii="Helvetica" w:hAnsi="Helvetica" w:cs="Helvetica"/>
          <w:color w:val="000000"/>
          <w:sz w:val="18"/>
          <w:szCs w:val="18"/>
        </w:rPr>
        <w:t>de execuție</w:t>
      </w:r>
      <w:r w:rsidR="00A360AB">
        <w:rPr>
          <w:rFonts w:ascii="Helvetica" w:hAnsi="Helvetica" w:cs="Helvetica"/>
          <w:color w:val="000000"/>
          <w:sz w:val="18"/>
          <w:szCs w:val="18"/>
        </w:rPr>
        <w:t>, 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C175AA">
        <w:rPr>
          <w:rFonts w:ascii="Helvetica" w:hAnsi="Helvetica" w:cs="Helvetica"/>
          <w:color w:val="000000"/>
          <w:sz w:val="18"/>
          <w:szCs w:val="18"/>
        </w:rPr>
        <w:t>bucătar</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 xml:space="preserve">Pentru a ocupa un post contractual vacant candidații trebuie să îndeplinească următoarele condiții generale, conform art. 3 al Regulamentului-cadru aprobat prin Hotărârea Guvernului nr. 286 din 23 martie 2011, cu modificările și completările ulterioare: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alWeb"/>
        <w:shd w:val="clear" w:color="auto" w:fill="DEE7F5"/>
        <w:jc w:val="both"/>
        <w:rPr>
          <w:rFonts w:ascii="Helvetica" w:hAnsi="Helvetica" w:cs="Helvetica"/>
          <w:color w:val="000000"/>
          <w:sz w:val="18"/>
          <w:szCs w:val="18"/>
        </w:rPr>
      </w:pPr>
      <w:r>
        <w:rPr>
          <w:rFonts w:ascii="Helvetica" w:hAnsi="Helvetica" w:cs="Helvetica"/>
          <w:color w:val="000000"/>
          <w:sz w:val="18"/>
          <w:szCs w:val="18"/>
        </w:rPr>
        <w:t>Condiţiile specifice necesare în vederea participării la concurs şi a ocupării funcției contractuale sunt:</w:t>
      </w:r>
    </w:p>
    <w:p w:rsidR="00E03D95" w:rsidRDefault="00E03D95" w:rsidP="00A518B0">
      <w:pPr>
        <w:numPr>
          <w:ilvl w:val="0"/>
          <w:numId w:val="2"/>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studii medii</w:t>
      </w:r>
    </w:p>
    <w:p w:rsidR="00A518B0" w:rsidRPr="00893929" w:rsidRDefault="00E03D95"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893929">
        <w:rPr>
          <w:rFonts w:ascii="Helvetica" w:hAnsi="Helvetica" w:cs="Helvetica"/>
          <w:sz w:val="18"/>
          <w:szCs w:val="18"/>
        </w:rPr>
        <w:t>diploma de</w:t>
      </w:r>
      <w:r w:rsidR="00CE4B29" w:rsidRPr="00893929">
        <w:rPr>
          <w:rFonts w:ascii="Helvetica" w:hAnsi="Helvetica" w:cs="Helvetica"/>
          <w:sz w:val="18"/>
          <w:szCs w:val="18"/>
        </w:rPr>
        <w:t xml:space="preserve"> calificare în</w:t>
      </w:r>
      <w:r w:rsidRPr="00893929">
        <w:rPr>
          <w:rFonts w:ascii="Helvetica" w:hAnsi="Helvetica" w:cs="Helvetica"/>
          <w:sz w:val="18"/>
          <w:szCs w:val="18"/>
        </w:rPr>
        <w:t xml:space="preserve"> </w:t>
      </w:r>
      <w:r w:rsidR="00CE4B29" w:rsidRPr="00893929">
        <w:rPr>
          <w:rFonts w:ascii="Helvetica" w:hAnsi="Helvetica" w:cs="Helvetica"/>
          <w:sz w:val="18"/>
          <w:szCs w:val="18"/>
        </w:rPr>
        <w:t>domeniu</w:t>
      </w:r>
      <w:r w:rsidR="00A518B0" w:rsidRPr="00893929">
        <w:rPr>
          <w:rFonts w:ascii="Helvetica" w:hAnsi="Helvetica" w:cs="Helvetica"/>
          <w:sz w:val="18"/>
          <w:szCs w:val="18"/>
        </w:rPr>
        <w:t>;</w:t>
      </w:r>
    </w:p>
    <w:p w:rsidR="008A3CC2" w:rsidRDefault="008A3CC2"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893929">
        <w:rPr>
          <w:rFonts w:ascii="Helvetica" w:hAnsi="Helvetica" w:cs="Helvetica"/>
          <w:sz w:val="18"/>
          <w:szCs w:val="18"/>
        </w:rPr>
        <w:t>cunoașterea limbii maghiare vorbit, scris, citit</w:t>
      </w:r>
      <w:r w:rsidR="0030336D" w:rsidRPr="00893929">
        <w:rPr>
          <w:rFonts w:ascii="Helvetica" w:hAnsi="Helvetica" w:cs="Helvetica"/>
          <w:sz w:val="18"/>
          <w:szCs w:val="18"/>
        </w:rPr>
        <w:t>,</w:t>
      </w:r>
      <w:r w:rsidRPr="00893929">
        <w:rPr>
          <w:rFonts w:ascii="Helvetica" w:hAnsi="Helvetica" w:cs="Helvetica"/>
          <w:sz w:val="18"/>
          <w:szCs w:val="18"/>
        </w:rPr>
        <w:t xml:space="preserve"> </w:t>
      </w:r>
      <w:r w:rsidR="00E03D95" w:rsidRPr="00893929">
        <w:rPr>
          <w:rFonts w:ascii="Helvetica" w:hAnsi="Helvetica" w:cs="Helvetica"/>
          <w:sz w:val="18"/>
          <w:szCs w:val="18"/>
        </w:rPr>
        <w:t>se consideră avantaj</w:t>
      </w:r>
    </w:p>
    <w:p w:rsidR="00023F5B" w:rsidRPr="00893929" w:rsidRDefault="00023F5B"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Pr>
          <w:rFonts w:ascii="Helvetica" w:hAnsi="Helvetica" w:cs="Helvetica"/>
          <w:sz w:val="18"/>
          <w:szCs w:val="18"/>
        </w:rPr>
        <w:t>nu necesită vechime</w:t>
      </w:r>
      <w:bookmarkStart w:id="0" w:name="_GoBack"/>
      <w:bookmarkEnd w:id="0"/>
    </w:p>
    <w:p w:rsidR="00A518B0" w:rsidRDefault="00A518B0" w:rsidP="00A518B0">
      <w:pPr>
        <w:pStyle w:val="NormalWeb"/>
        <w:shd w:val="clear" w:color="auto" w:fill="DEE7F5"/>
        <w:jc w:val="both"/>
        <w:rPr>
          <w:rFonts w:ascii="Helvetica" w:hAnsi="Helvetica" w:cs="Helvetica"/>
          <w:color w:val="000000"/>
          <w:sz w:val="18"/>
          <w:szCs w:val="18"/>
        </w:rPr>
      </w:pPr>
      <w:r>
        <w:rPr>
          <w:rFonts w:ascii="Helvetica" w:hAnsi="Helvetica" w:cs="Helvetica"/>
          <w:color w:val="000000"/>
          <w:sz w:val="18"/>
          <w:szCs w:val="18"/>
        </w:rPr>
        <w:t xml:space="preserve">Concursul se va organiza conform </w:t>
      </w:r>
      <w:r w:rsidR="0030336D">
        <w:rPr>
          <w:rFonts w:ascii="Helvetica" w:hAnsi="Helvetica" w:cs="Helvetica"/>
          <w:color w:val="000000"/>
          <w:sz w:val="18"/>
          <w:szCs w:val="18"/>
        </w:rPr>
        <w:t xml:space="preserve">următorului calendar: </w:t>
      </w:r>
    </w:p>
    <w:p w:rsidR="00A518B0" w:rsidRPr="00CA1D29" w:rsidRDefault="0044439B" w:rsidP="00A518B0">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CA1D29">
        <w:rPr>
          <w:rFonts w:ascii="Helvetica" w:hAnsi="Helvetica" w:cs="Helvetica"/>
          <w:sz w:val="18"/>
          <w:szCs w:val="18"/>
        </w:rPr>
        <w:t>1</w:t>
      </w:r>
      <w:r w:rsidR="00B14FD6">
        <w:rPr>
          <w:rFonts w:ascii="Helvetica" w:hAnsi="Helvetica" w:cs="Helvetica"/>
          <w:sz w:val="18"/>
          <w:szCs w:val="18"/>
        </w:rPr>
        <w:t>4</w:t>
      </w:r>
      <w:r w:rsidR="00150120" w:rsidRPr="00CA1D29">
        <w:rPr>
          <w:rFonts w:ascii="Helvetica" w:hAnsi="Helvetica" w:cs="Helvetica"/>
          <w:sz w:val="18"/>
          <w:szCs w:val="18"/>
        </w:rPr>
        <w:t xml:space="preserve"> </w:t>
      </w:r>
      <w:r w:rsidR="00D61757" w:rsidRPr="00CA1D29">
        <w:rPr>
          <w:rFonts w:ascii="Helvetica" w:hAnsi="Helvetica" w:cs="Helvetica"/>
          <w:sz w:val="18"/>
          <w:szCs w:val="18"/>
        </w:rPr>
        <w:t>octombrie</w:t>
      </w:r>
      <w:r w:rsidR="00DD1E9F" w:rsidRPr="00CA1D29">
        <w:rPr>
          <w:rFonts w:ascii="Helvetica" w:hAnsi="Helvetica" w:cs="Helvetica"/>
          <w:sz w:val="18"/>
          <w:szCs w:val="18"/>
        </w:rPr>
        <w:t xml:space="preserve"> </w:t>
      </w:r>
      <w:r w:rsidR="00B14FD6">
        <w:rPr>
          <w:rFonts w:ascii="Helvetica" w:hAnsi="Helvetica" w:cs="Helvetica"/>
          <w:sz w:val="18"/>
          <w:szCs w:val="18"/>
        </w:rPr>
        <w:t xml:space="preserve"> 2020</w:t>
      </w:r>
      <w:r w:rsidR="00A518B0" w:rsidRPr="00CA1D29">
        <w:rPr>
          <w:rFonts w:ascii="Helvetica" w:hAnsi="Helvetica" w:cs="Helvetica"/>
          <w:sz w:val="18"/>
          <w:szCs w:val="18"/>
        </w:rPr>
        <w:t>, ora 1</w:t>
      </w:r>
      <w:r w:rsidR="00B14FD6">
        <w:rPr>
          <w:rFonts w:ascii="Helvetica" w:hAnsi="Helvetica" w:cs="Helvetica"/>
          <w:sz w:val="18"/>
          <w:szCs w:val="18"/>
        </w:rPr>
        <w:t>2</w:t>
      </w:r>
      <w:r w:rsidR="00A518B0" w:rsidRPr="00CA1D29">
        <w:rPr>
          <w:rFonts w:ascii="Helvetica" w:hAnsi="Helvetica" w:cs="Helvetica"/>
          <w:sz w:val="18"/>
          <w:szCs w:val="18"/>
        </w:rPr>
        <w:t>:00: termenul limită de depunere a dosarelor;</w:t>
      </w:r>
    </w:p>
    <w:p w:rsidR="00DD1E9F" w:rsidRPr="00CA1D29" w:rsidRDefault="0044439B" w:rsidP="00DD1E9F">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CA1D29">
        <w:rPr>
          <w:rFonts w:ascii="Helvetica" w:hAnsi="Helvetica" w:cs="Helvetica"/>
          <w:sz w:val="18"/>
          <w:szCs w:val="18"/>
        </w:rPr>
        <w:t>2</w:t>
      </w:r>
      <w:r w:rsidR="00B14FD6">
        <w:rPr>
          <w:rFonts w:ascii="Helvetica" w:hAnsi="Helvetica" w:cs="Helvetica"/>
          <w:sz w:val="18"/>
          <w:szCs w:val="18"/>
        </w:rPr>
        <w:t>0 octombrie  2020</w:t>
      </w:r>
      <w:r w:rsidR="00D61757" w:rsidRPr="00CA1D29">
        <w:rPr>
          <w:rFonts w:ascii="Helvetica" w:hAnsi="Helvetica" w:cs="Helvetica"/>
          <w:sz w:val="18"/>
          <w:szCs w:val="18"/>
        </w:rPr>
        <w:t>, ora 1</w:t>
      </w:r>
      <w:r w:rsidRPr="00CA1D29">
        <w:rPr>
          <w:rFonts w:ascii="Helvetica" w:hAnsi="Helvetica" w:cs="Helvetica"/>
          <w:sz w:val="18"/>
          <w:szCs w:val="18"/>
        </w:rPr>
        <w:t>0</w:t>
      </w:r>
      <w:r w:rsidR="00D61757" w:rsidRPr="00CA1D29">
        <w:rPr>
          <w:rFonts w:ascii="Helvetica" w:hAnsi="Helvetica" w:cs="Helvetica"/>
          <w:sz w:val="18"/>
          <w:szCs w:val="18"/>
        </w:rPr>
        <w:t xml:space="preserve">:00: </w:t>
      </w:r>
      <w:r w:rsidR="00DD1E9F" w:rsidRPr="00CA1D29">
        <w:rPr>
          <w:rFonts w:ascii="Helvetica" w:hAnsi="Helvetica" w:cs="Helvetica"/>
          <w:sz w:val="18"/>
          <w:szCs w:val="18"/>
        </w:rPr>
        <w:t>proba practică</w:t>
      </w:r>
      <w:r w:rsidR="00B14FD6">
        <w:rPr>
          <w:rFonts w:ascii="Helvetica" w:hAnsi="Helvetica" w:cs="Helvetica"/>
          <w:sz w:val="18"/>
          <w:szCs w:val="18"/>
        </w:rPr>
        <w:t>,</w:t>
      </w:r>
    </w:p>
    <w:p w:rsidR="00150120" w:rsidRPr="00CA1D29" w:rsidRDefault="0044439B" w:rsidP="007578A8">
      <w:pPr>
        <w:numPr>
          <w:ilvl w:val="0"/>
          <w:numId w:val="3"/>
        </w:numPr>
        <w:shd w:val="clear" w:color="auto" w:fill="FFFFFF"/>
        <w:spacing w:before="100" w:beforeAutospacing="1" w:after="100" w:afterAutospacing="1" w:line="432" w:lineRule="atLeast"/>
        <w:ind w:left="396" w:right="396"/>
        <w:rPr>
          <w:rFonts w:ascii="Helvetica" w:hAnsi="Helvetica" w:cs="Helvetica"/>
          <w:sz w:val="18"/>
          <w:szCs w:val="18"/>
        </w:rPr>
      </w:pPr>
      <w:r w:rsidRPr="00CA1D29">
        <w:rPr>
          <w:rFonts w:ascii="Helvetica" w:hAnsi="Helvetica" w:cs="Helvetica"/>
          <w:sz w:val="18"/>
          <w:szCs w:val="18"/>
        </w:rPr>
        <w:t>2</w:t>
      </w:r>
      <w:r w:rsidR="00B14FD6">
        <w:rPr>
          <w:rFonts w:ascii="Helvetica" w:hAnsi="Helvetica" w:cs="Helvetica"/>
          <w:sz w:val="18"/>
          <w:szCs w:val="18"/>
        </w:rPr>
        <w:t>2 octombrie  2020</w:t>
      </w:r>
      <w:r w:rsidR="00D61757" w:rsidRPr="00CA1D29">
        <w:rPr>
          <w:rFonts w:ascii="Helvetica" w:hAnsi="Helvetica" w:cs="Helvetica"/>
          <w:sz w:val="18"/>
          <w:szCs w:val="18"/>
        </w:rPr>
        <w:t>, ora 1</w:t>
      </w:r>
      <w:r w:rsidR="00B14FD6">
        <w:rPr>
          <w:rFonts w:ascii="Helvetica" w:hAnsi="Helvetica" w:cs="Helvetica"/>
          <w:sz w:val="18"/>
          <w:szCs w:val="18"/>
        </w:rPr>
        <w:t>0</w:t>
      </w:r>
      <w:r w:rsidR="00D61757" w:rsidRPr="00CA1D29">
        <w:rPr>
          <w:rFonts w:ascii="Helvetica" w:hAnsi="Helvetica" w:cs="Helvetica"/>
          <w:sz w:val="18"/>
          <w:szCs w:val="18"/>
        </w:rPr>
        <w:t>:00:</w:t>
      </w:r>
      <w:r w:rsidR="00150120" w:rsidRPr="00CA1D29">
        <w:rPr>
          <w:rFonts w:ascii="Helvetica" w:hAnsi="Helvetica" w:cs="Helvetica"/>
          <w:sz w:val="18"/>
          <w:szCs w:val="18"/>
        </w:rPr>
        <w:t>: proba interviu;</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lastRenderedPageBreak/>
        <w:t>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Adeverința care atestă starea de sănătate conține, în clar, numărul, data, numele emitentului și calitatea acestuia, în formatul standard stabilit de Ministerul Sănătății.</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A518B0" w:rsidRDefault="00A518B0" w:rsidP="00A518B0">
      <w:pPr>
        <w:pStyle w:val="NormalWeb"/>
        <w:shd w:val="clear" w:color="auto" w:fill="FFFFFF"/>
        <w:jc w:val="both"/>
        <w:rPr>
          <w:rFonts w:ascii="Helvetica" w:hAnsi="Helvetica" w:cs="Helvetica"/>
          <w:color w:val="000000"/>
          <w:sz w:val="18"/>
          <w:szCs w:val="18"/>
        </w:rPr>
      </w:pPr>
      <w:r>
        <w:rPr>
          <w:rFonts w:ascii="Helvetica" w:hAnsi="Helvetica" w:cs="Helvetica"/>
          <w:color w:val="000000"/>
          <w:sz w:val="18"/>
          <w:szCs w:val="18"/>
        </w:rPr>
        <w:t>Copia actului de identitate, copiile documentelor de studii și carnetul d</w:t>
      </w:r>
      <w:r w:rsidR="008A3CC2">
        <w:rPr>
          <w:rFonts w:ascii="Helvetica" w:hAnsi="Helvetica" w:cs="Helvetica"/>
          <w:color w:val="000000"/>
          <w:sz w:val="18"/>
          <w:szCs w:val="18"/>
        </w:rPr>
        <w:t>e muncă sau, după caz, adeverinț</w:t>
      </w:r>
      <w:r>
        <w:rPr>
          <w:rFonts w:ascii="Helvetica" w:hAnsi="Helvetica" w:cs="Helvetica"/>
          <w:color w:val="000000"/>
          <w:sz w:val="18"/>
          <w:szCs w:val="18"/>
        </w:rPr>
        <w:t>ele care atestă vechimea vor fi prezentate și în original în vederea verificării conformității copiilor cu acestea.</w:t>
      </w:r>
    </w:p>
    <w:p w:rsidR="00A518B0" w:rsidRDefault="00A518B0" w:rsidP="00A518B0">
      <w:pPr>
        <w:pStyle w:val="NormalWeb"/>
        <w:shd w:val="clear" w:color="auto" w:fill="FFFFFF"/>
        <w:rPr>
          <w:rFonts w:ascii="Helvetica" w:hAnsi="Helvetica" w:cs="Helvetica"/>
          <w:color w:val="000000"/>
          <w:sz w:val="18"/>
          <w:szCs w:val="18"/>
        </w:rPr>
      </w:pPr>
      <w:r>
        <w:rPr>
          <w:rFonts w:ascii="Helvetica" w:hAnsi="Helvetica" w:cs="Helvetica"/>
          <w:color w:val="000000"/>
          <w:sz w:val="18"/>
          <w:szCs w:val="18"/>
        </w:rPr>
        <w:t xml:space="preserve">Relații suplimentare se obțin la sediul </w:t>
      </w:r>
      <w:r w:rsidR="0065263B">
        <w:rPr>
          <w:rFonts w:ascii="Helvetica" w:hAnsi="Helvetica" w:cs="Helvetica"/>
          <w:color w:val="000000"/>
          <w:sz w:val="18"/>
          <w:szCs w:val="18"/>
        </w:rPr>
        <w:t xml:space="preserve"> </w:t>
      </w:r>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r w:rsidR="00150120" w:rsidRPr="002A6D86">
        <w:rPr>
          <w:rFonts w:ascii="Helvetica" w:hAnsi="Helvetica" w:cs="Helvetica"/>
          <w:bCs/>
          <w:color w:val="000000" w:themeColor="text1"/>
          <w:sz w:val="18"/>
          <w:szCs w:val="18"/>
        </w:rPr>
        <w:t xml:space="preserve"> Teoretic  „Ady Endre”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Moscovei </w:t>
      </w:r>
      <w:r>
        <w:rPr>
          <w:rFonts w:ascii="Helvetica" w:hAnsi="Helvetica" w:cs="Helvetica"/>
          <w:color w:val="000000"/>
          <w:sz w:val="18"/>
          <w:szCs w:val="18"/>
        </w:rPr>
        <w:t xml:space="preserve"> nr. </w:t>
      </w:r>
      <w:r w:rsidR="0065263B">
        <w:rPr>
          <w:rFonts w:ascii="Helvetica" w:hAnsi="Helvetica" w:cs="Helvetica"/>
          <w:color w:val="000000"/>
          <w:sz w:val="18"/>
          <w:szCs w:val="18"/>
        </w:rPr>
        <w:t>1</w:t>
      </w:r>
      <w:r w:rsidR="003A5BE1">
        <w:rPr>
          <w:rFonts w:ascii="Helvetica" w:hAnsi="Helvetica" w:cs="Helvetica"/>
          <w:color w:val="000000"/>
          <w:sz w:val="18"/>
          <w:szCs w:val="18"/>
        </w:rPr>
        <w:t>, Județul Bihor.</w:t>
      </w:r>
      <w:r w:rsidR="00FB25AC">
        <w:rPr>
          <w:rFonts w:ascii="Helvetica" w:hAnsi="Helvetica" w:cs="Helvetica"/>
          <w:color w:val="000000"/>
          <w:sz w:val="18"/>
          <w:szCs w:val="18"/>
        </w:rPr>
        <w:t xml:space="preserve"> Persoana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A360AB">
        <w:rPr>
          <w:rFonts w:ascii="Helvetica" w:hAnsi="Helvetica" w:cs="Helvetica"/>
          <w:color w:val="000000"/>
          <w:sz w:val="18"/>
          <w:szCs w:val="18"/>
        </w:rPr>
        <w:t>259431787.</w:t>
      </w:r>
      <w:r w:rsidR="0077712C">
        <w:rPr>
          <w:rFonts w:ascii="Helvetica" w:hAnsi="Helvetica" w:cs="Helvetica"/>
          <w:color w:val="000000"/>
          <w:sz w:val="18"/>
          <w:szCs w:val="18"/>
        </w:rPr>
        <w:t>.</w:t>
      </w: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6" w:history="1">
        <w:r w:rsidRPr="0065263B">
          <w:rPr>
            <w:rStyle w:val="Hyperlink"/>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7" w:history="1">
        <w:r>
          <w:rPr>
            <w:rStyle w:val="Hyperlink"/>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8" w:history="1">
        <w:r>
          <w:rPr>
            <w:rStyle w:val="Hyperlink"/>
            <w:rFonts w:cs="Helvetica"/>
            <w:sz w:val="18"/>
            <w:szCs w:val="18"/>
          </w:rPr>
          <w:t>Bihor</w:t>
        </w:r>
      </w:hyperlink>
      <w:r>
        <w:rPr>
          <w:rFonts w:ascii="Helvetica" w:hAnsi="Helvetica" w:cs="Helvetica"/>
          <w:color w:val="000000"/>
          <w:sz w:val="18"/>
          <w:szCs w:val="18"/>
        </w:rPr>
        <w:t xml:space="preserve"> </w:t>
      </w:r>
      <w:hyperlink r:id="rId9" w:anchor="map" w:history="1">
        <w:r>
          <w:rPr>
            <w:rStyle w:val="Hyperlink"/>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10" w:history="1">
        <w:r w:rsidR="0065263B">
          <w:rPr>
            <w:rStyle w:val="Hyperlink"/>
            <w:rFonts w:cs="Helvetica"/>
            <w:sz w:val="18"/>
            <w:szCs w:val="18"/>
          </w:rPr>
          <w:t>Permanent</w:t>
        </w:r>
      </w:hyperlink>
      <w:r>
        <w:rPr>
          <w:rFonts w:ascii="Helvetica" w:hAnsi="Helvetica" w:cs="Helvetica"/>
          <w:color w:val="000000"/>
          <w:sz w:val="18"/>
          <w:szCs w:val="18"/>
        </w:rPr>
        <w:t xml:space="preserve"> </w:t>
      </w:r>
    </w:p>
    <w:p w:rsidR="00070CB5" w:rsidRPr="00E82C91" w:rsidRDefault="00A518B0" w:rsidP="00E82C91">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1" w:history="1">
        <w:r w:rsidR="00CE4B29">
          <w:rPr>
            <w:rStyle w:val="Hyperlink"/>
            <w:rFonts w:cs="Helvetica"/>
            <w:sz w:val="18"/>
            <w:szCs w:val="18"/>
          </w:rPr>
          <w:t>execuție</w:t>
        </w:r>
      </w:hyperlink>
    </w:p>
    <w:p w:rsidR="00C11D0F" w:rsidRDefault="00C11D0F" w:rsidP="00C11D0F">
      <w:r>
        <w:t>Bibliografie:</w:t>
      </w:r>
    </w:p>
    <w:p w:rsidR="00070CB5" w:rsidRDefault="00070CB5" w:rsidP="00C11D0F"/>
    <w:p w:rsidR="00B14FD6" w:rsidRPr="00B14FD6" w:rsidRDefault="00B14FD6" w:rsidP="00E82C91">
      <w:pPr>
        <w:pStyle w:val="ListParagraph"/>
        <w:numPr>
          <w:ilvl w:val="0"/>
          <w:numId w:val="6"/>
        </w:numPr>
        <w:jc w:val="both"/>
      </w:pPr>
      <w:r w:rsidRPr="00B14FD6">
        <w:t xml:space="preserve">Ordinul Ministerului Sănătății nr. 1456 din 2020 pentru aprobarea Normelor de igienădin unitatățile pentru ocrotirea, educarea, instruirea, odihna și recreerea copiilor și tinerilor </w:t>
      </w:r>
    </w:p>
    <w:p w:rsidR="00B14FD6" w:rsidRDefault="00A52417" w:rsidP="00E82C91">
      <w:pPr>
        <w:pStyle w:val="ListParagraph"/>
        <w:numPr>
          <w:ilvl w:val="0"/>
          <w:numId w:val="6"/>
        </w:numPr>
        <w:jc w:val="both"/>
      </w:pPr>
      <w:r w:rsidRPr="00B14FD6">
        <w:rPr>
          <w:lang w:val="hu-HU"/>
        </w:rPr>
        <w:t>Legea 123 din 2</w:t>
      </w:r>
      <w:r w:rsidRPr="00B14FD6">
        <w:t>008 pentru o alimentație sănătoasă în unitățile de învățământ</w:t>
      </w:r>
    </w:p>
    <w:p w:rsidR="00A52417" w:rsidRPr="00B14FD6" w:rsidRDefault="00B14FD6" w:rsidP="00E82C91">
      <w:pPr>
        <w:pStyle w:val="ListParagraph"/>
        <w:numPr>
          <w:ilvl w:val="0"/>
          <w:numId w:val="6"/>
        </w:numPr>
        <w:jc w:val="both"/>
        <w:rPr>
          <w:lang w:val="hu-HU"/>
        </w:rPr>
      </w:pPr>
      <w:r>
        <w:rPr>
          <w:lang w:val="hu-HU"/>
        </w:rPr>
        <w:t>OM</w:t>
      </w:r>
      <w:r w:rsidR="00A52417" w:rsidRPr="00B14FD6">
        <w:rPr>
          <w:lang w:val="hu-HU"/>
        </w:rPr>
        <w:t xml:space="preserve"> Nr. 1563 din 12 septembrie 2008pentru aprobarea Listei alimentelor nerecomandate preşcolarilor şi şcolarilor şi a principiilor care stau la baza unei alimentaţii sănătoase pentru copii şi adolescenţi</w:t>
      </w:r>
    </w:p>
    <w:p w:rsidR="00B14FD6" w:rsidRDefault="00B14FD6" w:rsidP="00E82C91">
      <w:pPr>
        <w:pStyle w:val="ListParagraph"/>
        <w:numPr>
          <w:ilvl w:val="0"/>
          <w:numId w:val="6"/>
        </w:numPr>
        <w:jc w:val="both"/>
        <w:rPr>
          <w:lang w:val="hu-HU"/>
        </w:rPr>
      </w:pPr>
      <w:r>
        <w:rPr>
          <w:lang w:val="hu-HU"/>
        </w:rPr>
        <w:t>Ordinul comun MEC/MS nr. 5487/1494 din 2020 pentru aprobarea măsurilor de organizare a activității în cadrul unităților de învățământ în condițiile de siguranță epidemiologică pentru prevenirea îmbolnăvirilor cu virusul SARS- CoV-2</w:t>
      </w:r>
    </w:p>
    <w:p w:rsidR="00B14FD6" w:rsidRPr="00B14FD6" w:rsidRDefault="00B14FD6" w:rsidP="00E82C91">
      <w:pPr>
        <w:pStyle w:val="ListParagraph"/>
        <w:numPr>
          <w:ilvl w:val="0"/>
          <w:numId w:val="6"/>
        </w:numPr>
        <w:jc w:val="both"/>
        <w:rPr>
          <w:lang w:val="hu-HU"/>
        </w:rPr>
      </w:pPr>
      <w:r>
        <w:rPr>
          <w:lang w:val="hu-HU"/>
        </w:rPr>
        <w:t>OM nr. 5447 din 2020 privind aprobarea Regulamentului – cadru de organizare și funcționare a unităților de învățământ preuniversitar</w:t>
      </w:r>
    </w:p>
    <w:p w:rsidR="00B14FD6" w:rsidRPr="00B14FD6" w:rsidRDefault="00B14FD6" w:rsidP="00A52417">
      <w:pPr>
        <w:pStyle w:val="Default"/>
        <w:ind w:left="709"/>
        <w:rPr>
          <w:color w:val="auto"/>
          <w:sz w:val="24"/>
          <w:szCs w:val="24"/>
        </w:rPr>
      </w:pPr>
    </w:p>
    <w:p w:rsidR="00A52417" w:rsidRPr="00B14FD6" w:rsidRDefault="00A52417" w:rsidP="00A52417">
      <w:pPr>
        <w:pStyle w:val="ListParagraph"/>
      </w:pPr>
    </w:p>
    <w:p w:rsidR="00C73FE4" w:rsidRDefault="00C73FE4" w:rsidP="00C73FE4"/>
    <w:p w:rsidR="00C73FE4" w:rsidRDefault="00C73FE4" w:rsidP="00C73FE4"/>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B0"/>
    <w:rsid w:val="00023F5B"/>
    <w:rsid w:val="00070CB5"/>
    <w:rsid w:val="000814FB"/>
    <w:rsid w:val="000C6C67"/>
    <w:rsid w:val="00103E84"/>
    <w:rsid w:val="00116234"/>
    <w:rsid w:val="00150120"/>
    <w:rsid w:val="001B5AF3"/>
    <w:rsid w:val="00222419"/>
    <w:rsid w:val="00254238"/>
    <w:rsid w:val="0028017F"/>
    <w:rsid w:val="002A6D86"/>
    <w:rsid w:val="0030336D"/>
    <w:rsid w:val="003A5BE1"/>
    <w:rsid w:val="003C24D8"/>
    <w:rsid w:val="0044439B"/>
    <w:rsid w:val="004F0B24"/>
    <w:rsid w:val="005937C5"/>
    <w:rsid w:val="00644331"/>
    <w:rsid w:val="00647D85"/>
    <w:rsid w:val="0065263B"/>
    <w:rsid w:val="006F61AD"/>
    <w:rsid w:val="007578A8"/>
    <w:rsid w:val="0076339C"/>
    <w:rsid w:val="0077712C"/>
    <w:rsid w:val="008573FA"/>
    <w:rsid w:val="00893929"/>
    <w:rsid w:val="00897E03"/>
    <w:rsid w:val="008A3CC2"/>
    <w:rsid w:val="008F6371"/>
    <w:rsid w:val="008F7A5A"/>
    <w:rsid w:val="00973BA8"/>
    <w:rsid w:val="009E39F3"/>
    <w:rsid w:val="00A360AB"/>
    <w:rsid w:val="00A518B0"/>
    <w:rsid w:val="00A52417"/>
    <w:rsid w:val="00A64EBD"/>
    <w:rsid w:val="00AB672F"/>
    <w:rsid w:val="00B14FD6"/>
    <w:rsid w:val="00B818DF"/>
    <w:rsid w:val="00B86786"/>
    <w:rsid w:val="00C11D0F"/>
    <w:rsid w:val="00C175AA"/>
    <w:rsid w:val="00C73FE4"/>
    <w:rsid w:val="00CA1D29"/>
    <w:rsid w:val="00CC4758"/>
    <w:rsid w:val="00CE4B29"/>
    <w:rsid w:val="00D61757"/>
    <w:rsid w:val="00D72788"/>
    <w:rsid w:val="00D80DFB"/>
    <w:rsid w:val="00DD1BFD"/>
    <w:rsid w:val="00DD1E9F"/>
    <w:rsid w:val="00DD7140"/>
    <w:rsid w:val="00E03D95"/>
    <w:rsid w:val="00E731B0"/>
    <w:rsid w:val="00E82C91"/>
    <w:rsid w:val="00EE2B45"/>
    <w:rsid w:val="00F716CD"/>
    <w:rsid w:val="00FB25AC"/>
    <w:rsid w:val="00FE7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judetul/biho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osturi.gov.ro/categoria-postului/functie-contractua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uri.gov.ro/angajator/institutii-locale/" TargetMode="External"/><Relationship Id="rId11" Type="http://schemas.openxmlformats.org/officeDocument/2006/relationships/hyperlink" Target="http://posturi.gov.ro/nivel/functii-de-executie/" TargetMode="External"/><Relationship Id="rId5" Type="http://schemas.openxmlformats.org/officeDocument/2006/relationships/webSettings" Target="webSettings.xml"/><Relationship Id="rId10" Type="http://schemas.openxmlformats.org/officeDocument/2006/relationships/hyperlink" Target="http://posturi.gov.ro/tip/temporar/" TargetMode="External"/><Relationship Id="rId4" Type="http://schemas.openxmlformats.org/officeDocument/2006/relationships/settings" Target="settings.xml"/><Relationship Id="rId9" Type="http://schemas.openxmlformats.org/officeDocument/2006/relationships/hyperlink" Target="http://posturi.gov.ro/post/secretar-4-orezi-liceul-tehnologic-agroindustrial-tamasi-aron-din-b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5042</Characters>
  <Application>Microsoft Office Word</Application>
  <DocSecurity>0</DocSecurity>
  <Lines>42</Lines>
  <Paragraphs>11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3</cp:revision>
  <cp:lastPrinted>2018-09-25T08:42:00Z</cp:lastPrinted>
  <dcterms:created xsi:type="dcterms:W3CDTF">2020-09-24T06:41:00Z</dcterms:created>
  <dcterms:modified xsi:type="dcterms:W3CDTF">2020-09-29T07:34:00Z</dcterms:modified>
</cp:coreProperties>
</file>