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IX. FIZIKA – pót /különbözeti vizsgára kért anyagrészei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I.1.  ELVEK ÉS TÖRVÉNYEK a newtoni mechanikában: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-    Mozgás Nyugalom: Helyzetvektor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-    Sebesség és sebességvektor fogalma, képlete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-     egyenesvonalú egyenletes mozgás törvénye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-      gyorsulás és gyorsulásvektor fogalma, képlete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-     Newton I,II és III törvénye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-     Hooke törvénye: Rugalmas erő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-     Feszitő erő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-     Surlódási erő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 2.   Megmaradási  és változási törvények a mechanikában: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-       mechanikai munka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-         teljesitmény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-        a gravitációs, rugalmas, surlódási erők munkája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-        energia- mozgási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   - helyzeti:  -gravitácios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    - rugalmas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-  a mechanikai energia megmaradásának tétele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- a mechanikai energia változásának tétele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II. Geometriai fénytan:                                        - fényvisszaverődés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-  fénytörés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- optikai prizma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-  szinszóródás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-  vékonylencsek: jellemzés, képszerkeztések, egyenlet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 xml:space="preserve">-   a szem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Szükséges ismeretek még az vizsgára :           -megfelelő képletek ismerete, helyes alkalmazása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- képszerkeztések és annak jellemzése a vékonylencsék esetében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